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8C" w:rsidRDefault="000F058C" w:rsidP="000F058C">
      <w:pPr>
        <w:jc w:val="center"/>
      </w:pPr>
      <w:r w:rsidRPr="00F97DE9">
        <w:rPr>
          <w:noProof/>
        </w:rPr>
        <w:drawing>
          <wp:inline distT="0" distB="0" distL="0" distR="0">
            <wp:extent cx="3190875" cy="723900"/>
            <wp:effectExtent l="0" t="0" r="952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E8B">
        <w:rPr>
          <w:noProof/>
        </w:rPr>
        <w:drawing>
          <wp:inline distT="0" distB="0" distL="0" distR="0">
            <wp:extent cx="723900" cy="304800"/>
            <wp:effectExtent l="0" t="0" r="0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8DC">
        <w:rPr>
          <w:noProof/>
        </w:rPr>
        <w:drawing>
          <wp:inline distT="0" distB="0" distL="0" distR="0">
            <wp:extent cx="742950" cy="304800"/>
            <wp:effectExtent l="0" t="0" r="0" b="0"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03">
        <w:rPr>
          <w:noProof/>
        </w:rPr>
        <w:drawing>
          <wp:inline distT="0" distB="0" distL="0" distR="0">
            <wp:extent cx="504825" cy="542925"/>
            <wp:effectExtent l="0" t="0" r="9525" b="9525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8C" w:rsidRDefault="000F058C" w:rsidP="000F058C">
      <w:pPr>
        <w:jc w:val="center"/>
        <w:rPr>
          <w:rFonts w:ascii="Comic Sans MS" w:hAnsi="Comic Sans MS"/>
          <w:i/>
        </w:rPr>
      </w:pPr>
      <w:r w:rsidRPr="00A377E1">
        <w:rPr>
          <w:rFonts w:ascii="Comic Sans MS" w:hAnsi="Comic Sans MS"/>
          <w:i/>
        </w:rPr>
        <w:t>Coordinamento Sindacale Unitario di Gruppo BPER</w:t>
      </w:r>
    </w:p>
    <w:p w:rsidR="000F058C" w:rsidRPr="000F058C" w:rsidRDefault="000F058C" w:rsidP="000F058C">
      <w:pPr>
        <w:jc w:val="right"/>
        <w:rPr>
          <w:rFonts w:ascii="Comic Sans MS" w:hAnsi="Comic Sans MS"/>
        </w:rPr>
      </w:pPr>
      <w:r w:rsidRPr="000F058C">
        <w:rPr>
          <w:rFonts w:ascii="Comic Sans MS" w:hAnsi="Comic Sans MS"/>
        </w:rPr>
        <w:t>Modena, 08.05.2017</w:t>
      </w:r>
    </w:p>
    <w:p w:rsidR="00682A1B" w:rsidRDefault="00B93803" w:rsidP="00B9380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Continua il Confronto in Capogruppo</w:t>
      </w:r>
    </w:p>
    <w:p w:rsidR="001E63EE" w:rsidRPr="005A0950" w:rsidRDefault="001E63EE" w:rsidP="00D86058">
      <w:pPr>
        <w:spacing w:after="0" w:line="240" w:lineRule="auto"/>
        <w:jc w:val="center"/>
        <w:rPr>
          <w:color w:val="FF0000"/>
        </w:rPr>
      </w:pPr>
    </w:p>
    <w:p w:rsidR="001E63EE" w:rsidRPr="006961F7" w:rsidRDefault="00682A1B" w:rsidP="00902354">
      <w:pPr>
        <w:spacing w:after="0" w:line="240" w:lineRule="auto"/>
        <w:jc w:val="both"/>
      </w:pPr>
      <w:r w:rsidRPr="006961F7">
        <w:t xml:space="preserve">Nella scorsa settimana è </w:t>
      </w:r>
      <w:r w:rsidR="002E3AEE" w:rsidRPr="006961F7">
        <w:t xml:space="preserve">proseguito </w:t>
      </w:r>
      <w:r w:rsidRPr="006961F7">
        <w:t>a Modena il confronto di Gruppo sulle</w:t>
      </w:r>
      <w:r w:rsidR="002E3AEE" w:rsidRPr="006961F7">
        <w:t xml:space="preserve"> ricadute sui lavoratori derivanti dalla </w:t>
      </w:r>
      <w:r w:rsidRPr="006961F7">
        <w:t>procedure del</w:t>
      </w:r>
      <w:r w:rsidR="000E3B3C">
        <w:t xml:space="preserve"> </w:t>
      </w:r>
      <w:r w:rsidRPr="006961F7">
        <w:t xml:space="preserve"> </w:t>
      </w:r>
      <w:proofErr w:type="spellStart"/>
      <w:r w:rsidRPr="006961F7">
        <w:t>Footprint</w:t>
      </w:r>
      <w:proofErr w:type="spellEnd"/>
      <w:r w:rsidRPr="006961F7">
        <w:t xml:space="preserve"> e sul Pendolarismo.</w:t>
      </w:r>
    </w:p>
    <w:p w:rsidR="002E3AEE" w:rsidRPr="006961F7" w:rsidRDefault="002E3AEE" w:rsidP="00902354">
      <w:pPr>
        <w:spacing w:after="0" w:line="240" w:lineRule="auto"/>
        <w:jc w:val="both"/>
      </w:pPr>
      <w:r w:rsidRPr="006961F7">
        <w:t>La trattativa è stata incentrata sugli effetti che la ristrutturazione della rete ha sugli inquadramenti e sulle  indennità</w:t>
      </w:r>
      <w:r w:rsidR="006D2811">
        <w:t>,</w:t>
      </w:r>
      <w:r w:rsidRPr="006961F7">
        <w:t xml:space="preserve"> previste a vario titolo dai Contratti Integrativi</w:t>
      </w:r>
      <w:r w:rsidR="006D2811">
        <w:t>,</w:t>
      </w:r>
      <w:r w:rsidRPr="006961F7">
        <w:t xml:space="preserve"> che l’Azienda si ostina</w:t>
      </w:r>
      <w:r w:rsidR="00AE50AF" w:rsidRPr="006961F7">
        <w:t>va</w:t>
      </w:r>
      <w:r w:rsidRPr="006961F7">
        <w:t xml:space="preserve"> a dichiarare superati e non applicabili.</w:t>
      </w:r>
    </w:p>
    <w:p w:rsidR="002E3AEE" w:rsidRPr="006961F7" w:rsidRDefault="002E3AEE" w:rsidP="00902354">
      <w:pPr>
        <w:spacing w:after="0" w:line="240" w:lineRule="auto"/>
        <w:jc w:val="both"/>
      </w:pPr>
      <w:r w:rsidRPr="006961F7">
        <w:t>L’azienda</w:t>
      </w:r>
      <w:r w:rsidR="00AE50AF" w:rsidRPr="006961F7">
        <w:t>, solo dopo la sospensione del confronto e il pressing delle Organizzazioni Sindacali a qualsiasi livello, ha confermato l’applicazione dei CIA e la liquidazione di quanto dovuto nel mese di maggio</w:t>
      </w:r>
      <w:r w:rsidR="00DD0750">
        <w:t xml:space="preserve"> e di corrispondere gli arretrati al massimo entro </w:t>
      </w:r>
      <w:r w:rsidR="00733166">
        <w:t>il mese di giugno 2017</w:t>
      </w:r>
      <w:r w:rsidR="006D2811">
        <w:t>. C</w:t>
      </w:r>
      <w:r w:rsidR="00AE50AF" w:rsidRPr="006961F7">
        <w:t xml:space="preserve">ontemporaneamente ha </w:t>
      </w:r>
      <w:r w:rsidRPr="006961F7">
        <w:t>fatto pervenire alle OO.SS. una proposta complessiva</w:t>
      </w:r>
      <w:r w:rsidR="0023577A" w:rsidRPr="006961F7">
        <w:t>, riduttiva rispetto all’impianto storico dei  CIA delle Banche del Gruppo.</w:t>
      </w:r>
      <w:r w:rsidRPr="006961F7">
        <w:t xml:space="preserve"> </w:t>
      </w:r>
    </w:p>
    <w:p w:rsidR="0066792B" w:rsidRPr="001F26D2" w:rsidRDefault="00682A1B" w:rsidP="00902354">
      <w:pPr>
        <w:spacing w:after="0" w:line="240" w:lineRule="auto"/>
        <w:jc w:val="both"/>
      </w:pPr>
      <w:r w:rsidRPr="006961F7">
        <w:t>Le OO.SS. dopo un</w:t>
      </w:r>
      <w:r w:rsidR="00AE50AF" w:rsidRPr="006961F7">
        <w:t>’</w:t>
      </w:r>
      <w:r w:rsidR="0066792B" w:rsidRPr="006961F7">
        <w:t xml:space="preserve">attenta valutazione della proposta aziendale hanno rappresentato alla stessa una </w:t>
      </w:r>
      <w:r w:rsidR="003327DD">
        <w:t xml:space="preserve">posizione </w:t>
      </w:r>
      <w:r w:rsidR="0066792B" w:rsidRPr="006961F7">
        <w:t xml:space="preserve">unitaria  </w:t>
      </w:r>
      <w:r w:rsidR="001F26D2">
        <w:t>con le seguenti previsioni</w:t>
      </w:r>
      <w:r w:rsidR="008D5154" w:rsidRPr="008D5154">
        <w:rPr>
          <w:color w:val="00B050"/>
        </w:rPr>
        <w:t xml:space="preserve"> </w:t>
      </w:r>
      <w:r w:rsidR="001F26D2">
        <w:t>:</w:t>
      </w:r>
    </w:p>
    <w:p w:rsidR="0066792B" w:rsidRPr="006961F7" w:rsidRDefault="006961F7" w:rsidP="006961F7">
      <w:pPr>
        <w:spacing w:after="0" w:line="240" w:lineRule="auto"/>
        <w:jc w:val="center"/>
        <w:rPr>
          <w:b/>
        </w:rPr>
      </w:pPr>
      <w:r w:rsidRPr="006961F7">
        <w:rPr>
          <w:b/>
        </w:rPr>
        <w:t>INQUADRAMENTI</w:t>
      </w:r>
    </w:p>
    <w:p w:rsidR="00577657" w:rsidRPr="006961F7" w:rsidRDefault="0066792B" w:rsidP="006961F7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6961F7">
        <w:t xml:space="preserve">l’accesso immediato all’area dei Quadri Direttivi di </w:t>
      </w:r>
      <w:r w:rsidR="006961F7" w:rsidRPr="006961F7">
        <w:t>t</w:t>
      </w:r>
      <w:r w:rsidR="00C33825" w:rsidRPr="006961F7">
        <w:t>utti i titolari di filiali comunque denominate, con un organico minimo di 3 Addetti, compreso il responsabile</w:t>
      </w:r>
      <w:r w:rsidRPr="006961F7">
        <w:t>, dei vicari in relazione alla dimensione di filiale  e di t</w:t>
      </w:r>
      <w:r w:rsidR="006B78F2" w:rsidRPr="006961F7">
        <w:t>utti i coordinatori imprese, i coordinatori person</w:t>
      </w:r>
      <w:r w:rsidRPr="006961F7">
        <w:t>al, e i coordinatori family Po</w:t>
      </w:r>
      <w:r w:rsidR="006961F7" w:rsidRPr="006961F7">
        <w:t>e;</w:t>
      </w:r>
    </w:p>
    <w:p w:rsidR="00755460" w:rsidRPr="006961F7" w:rsidRDefault="006961F7" w:rsidP="006961F7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6961F7">
        <w:t xml:space="preserve">l’accesso nell’Area Quadri Direttivi, con percorsi </w:t>
      </w:r>
      <w:r w:rsidR="006F432D" w:rsidRPr="006961F7">
        <w:t>temporali da stabilire</w:t>
      </w:r>
      <w:r w:rsidR="00755460" w:rsidRPr="006961F7">
        <w:t xml:space="preserve">, </w:t>
      </w:r>
      <w:r w:rsidRPr="006961F7">
        <w:t xml:space="preserve">per </w:t>
      </w:r>
      <w:r w:rsidR="009F1982" w:rsidRPr="006961F7">
        <w:t xml:space="preserve">Referente Corporate, </w:t>
      </w:r>
      <w:r w:rsidRPr="006961F7">
        <w:t>R</w:t>
      </w:r>
      <w:r w:rsidR="009F1982" w:rsidRPr="006961F7">
        <w:t xml:space="preserve">eferente Corporate PMI, Referente Personal e Referente </w:t>
      </w:r>
      <w:r w:rsidRPr="006961F7">
        <w:t>PMI e Referente Personal/Family;</w:t>
      </w:r>
    </w:p>
    <w:p w:rsidR="00E27DA6" w:rsidRDefault="006961F7" w:rsidP="00E27DA6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percorsi professionali nella 3^ Area</w:t>
      </w:r>
      <w:r w:rsidR="000669E7">
        <w:t>,</w:t>
      </w:r>
      <w:r>
        <w:t xml:space="preserve"> con </w:t>
      </w:r>
      <w:r w:rsidR="000669E7">
        <w:t xml:space="preserve">possibile </w:t>
      </w:r>
      <w:r>
        <w:t xml:space="preserve">sbocco fino al </w:t>
      </w:r>
      <w:r w:rsidR="009F1982">
        <w:t>4^ livello</w:t>
      </w:r>
      <w:r w:rsidR="000669E7">
        <w:t xml:space="preserve"> in funzione della complessità della mansione, per t</w:t>
      </w:r>
      <w:r w:rsidR="006F432D">
        <w:t>utti i titolari di filiali comunque denominate co</w:t>
      </w:r>
      <w:r w:rsidR="000669E7">
        <w:t xml:space="preserve">n un organico fino a 2 Addetti </w:t>
      </w:r>
      <w:r w:rsidR="006F432D">
        <w:t>compreso il responsabile</w:t>
      </w:r>
      <w:r w:rsidR="000669E7">
        <w:t xml:space="preserve">, </w:t>
      </w:r>
      <w:r w:rsidR="006D2811">
        <w:t xml:space="preserve"> per </w:t>
      </w:r>
      <w:r w:rsidR="000669E7">
        <w:t>i Vicari</w:t>
      </w:r>
      <w:r w:rsidR="00B15ECF">
        <w:t xml:space="preserve"> in relazione alla dimensione di filiale</w:t>
      </w:r>
      <w:r w:rsidR="000669E7">
        <w:t xml:space="preserve">, </w:t>
      </w:r>
      <w:r w:rsidR="006D2811">
        <w:t xml:space="preserve">per </w:t>
      </w:r>
      <w:r w:rsidR="00F67B13">
        <w:t>Collaboratore Family/Poe</w:t>
      </w:r>
      <w:r w:rsidR="000669E7">
        <w:t xml:space="preserve">,  </w:t>
      </w:r>
      <w:r w:rsidR="00F67B13">
        <w:t>Collaborator</w:t>
      </w:r>
      <w:r w:rsidR="006D2811">
        <w:t xml:space="preserve">e </w:t>
      </w:r>
      <w:r w:rsidR="00F67B13">
        <w:t xml:space="preserve"> Amministrativo</w:t>
      </w:r>
      <w:r w:rsidR="000669E7">
        <w:t xml:space="preserve"> e </w:t>
      </w:r>
      <w:r w:rsidR="00E27DA6">
        <w:t>Collaboratore Family/Cassa</w:t>
      </w:r>
      <w:r w:rsidR="000669E7">
        <w:t>.</w:t>
      </w:r>
    </w:p>
    <w:p w:rsidR="00065514" w:rsidRPr="000669E7" w:rsidRDefault="000669E7" w:rsidP="000669E7">
      <w:pPr>
        <w:spacing w:after="0" w:line="240" w:lineRule="auto"/>
        <w:ind w:left="360"/>
        <w:jc w:val="center"/>
        <w:rPr>
          <w:b/>
        </w:rPr>
      </w:pPr>
      <w:r w:rsidRPr="000669E7">
        <w:rPr>
          <w:b/>
        </w:rPr>
        <w:t>INDENNITA’ DI RUOLO</w:t>
      </w:r>
      <w:r>
        <w:rPr>
          <w:b/>
        </w:rPr>
        <w:t xml:space="preserve"> PER PREPOSTI </w:t>
      </w:r>
    </w:p>
    <w:p w:rsidR="006F5077" w:rsidRPr="00890A40" w:rsidRDefault="000669E7" w:rsidP="00545F7E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>erogazione per il 2017 in regime transitorio, secondo tutte le normative aziendali attualmente vigenti, di t</w:t>
      </w:r>
      <w:r w:rsidR="002B0C64">
        <w:t xml:space="preserve">utte le indennità collegate alla preposizione, comunque denominate, </w:t>
      </w:r>
    </w:p>
    <w:p w:rsidR="000669E7" w:rsidRDefault="000669E7" w:rsidP="00545F7E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applicazione </w:t>
      </w:r>
      <w:r w:rsidR="00065514" w:rsidRPr="006F5077">
        <w:t>dal 2018</w:t>
      </w:r>
      <w:r>
        <w:t xml:space="preserve"> dell</w:t>
      </w:r>
      <w:r w:rsidR="002B0C64">
        <w:t>’</w:t>
      </w:r>
      <w:r w:rsidR="00065514" w:rsidRPr="006F5077">
        <w:t xml:space="preserve">indennità di preposizione e </w:t>
      </w:r>
      <w:r>
        <w:t>dell</w:t>
      </w:r>
      <w:r w:rsidR="00902354" w:rsidRPr="006F5077">
        <w:t xml:space="preserve">’indennità del </w:t>
      </w:r>
      <w:r w:rsidR="00065514" w:rsidRPr="006F5077">
        <w:t xml:space="preserve">prodotto bancario </w:t>
      </w:r>
      <w:r w:rsidR="00A828BA" w:rsidRPr="006F5077">
        <w:t xml:space="preserve">a </w:t>
      </w:r>
      <w:r w:rsidR="00065514" w:rsidRPr="006F5077">
        <w:t xml:space="preserve"> tutti i </w:t>
      </w:r>
      <w:r w:rsidR="006F5077" w:rsidRPr="006F5077">
        <w:t xml:space="preserve">preposti per tutte le tipologie di filiale </w:t>
      </w:r>
      <w:r w:rsidR="00577657">
        <w:t>–</w:t>
      </w:r>
      <w:r w:rsidR="006F5077" w:rsidRPr="006F5077">
        <w:t xml:space="preserve"> </w:t>
      </w:r>
      <w:r w:rsidR="00577657">
        <w:t>a prescindere dall’inquadramento</w:t>
      </w:r>
      <w:r w:rsidR="00065514" w:rsidRPr="006F5077">
        <w:t>.</w:t>
      </w:r>
    </w:p>
    <w:p w:rsidR="00A57E07" w:rsidRPr="00A40D97" w:rsidRDefault="00A57E07" w:rsidP="006D2811">
      <w:pPr>
        <w:spacing w:after="0" w:line="240" w:lineRule="auto"/>
        <w:jc w:val="both"/>
        <w:rPr>
          <w:color w:val="00B050"/>
        </w:rPr>
      </w:pPr>
    </w:p>
    <w:p w:rsidR="00A57E07" w:rsidRPr="006D2811" w:rsidRDefault="00A57E07" w:rsidP="00A57E07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  </w:t>
      </w:r>
      <w:r w:rsidRPr="006D2811">
        <w:rPr>
          <w:b/>
        </w:rPr>
        <w:t xml:space="preserve">   VICARIO</w:t>
      </w:r>
    </w:p>
    <w:p w:rsidR="00A57E07" w:rsidRDefault="00A57E07" w:rsidP="00A57E07">
      <w:pPr>
        <w:spacing w:after="0" w:line="240" w:lineRule="auto"/>
        <w:jc w:val="both"/>
      </w:pPr>
      <w:r>
        <w:t>E’</w:t>
      </w:r>
      <w:r w:rsidR="007D5103">
        <w:t xml:space="preserve"> </w:t>
      </w:r>
      <w:r w:rsidR="007D5103" w:rsidRPr="00FF05BB">
        <w:t>stato</w:t>
      </w:r>
      <w:r w:rsidRPr="00FF05BB">
        <w:t xml:space="preserve"> </w:t>
      </w:r>
      <w:r w:rsidR="00A40D97" w:rsidRPr="00FF05BB">
        <w:t xml:space="preserve">ribadito </w:t>
      </w:r>
      <w:r>
        <w:t>da parte delle OO.SS. che il Vicario è un RUOLO, considerando le responsabilità che vengono richieste soprattutto in tema di antiriciclaggio.</w:t>
      </w:r>
    </w:p>
    <w:p w:rsidR="00A57E07" w:rsidRDefault="00A57E07" w:rsidP="00A57E07">
      <w:pPr>
        <w:spacing w:after="0" w:line="240" w:lineRule="auto"/>
        <w:jc w:val="both"/>
      </w:pPr>
    </w:p>
    <w:p w:rsidR="003F1591" w:rsidRPr="005A0950" w:rsidRDefault="00C15D10" w:rsidP="000669E7">
      <w:pPr>
        <w:spacing w:after="0" w:line="240" w:lineRule="auto"/>
        <w:jc w:val="center"/>
        <w:rPr>
          <w:b/>
        </w:rPr>
      </w:pPr>
      <w:r w:rsidRPr="005A0950">
        <w:rPr>
          <w:b/>
        </w:rPr>
        <w:t>PENDOLARISMO</w:t>
      </w:r>
    </w:p>
    <w:p w:rsidR="00BE4ADF" w:rsidRDefault="00B93803" w:rsidP="00BE4ADF">
      <w:pPr>
        <w:spacing w:after="0" w:line="240" w:lineRule="auto"/>
        <w:jc w:val="both"/>
        <w:rPr>
          <w:rFonts w:cstheme="minorHAnsi"/>
        </w:rPr>
      </w:pPr>
      <w:r w:rsidRPr="00BE4ADF">
        <w:rPr>
          <w:rFonts w:cstheme="minorHAnsi"/>
        </w:rPr>
        <w:t>E’ stato ribadito che l</w:t>
      </w:r>
      <w:r w:rsidR="00C15D10" w:rsidRPr="00BE4ADF">
        <w:rPr>
          <w:rFonts w:cstheme="minorHAnsi"/>
        </w:rPr>
        <w:t xml:space="preserve">’accordo </w:t>
      </w:r>
      <w:r w:rsidR="006D2811">
        <w:rPr>
          <w:rFonts w:cstheme="minorHAnsi"/>
        </w:rPr>
        <w:t xml:space="preserve">è </w:t>
      </w:r>
      <w:r w:rsidR="00C15D10" w:rsidRPr="00BE4ADF">
        <w:rPr>
          <w:rFonts w:cstheme="minorHAnsi"/>
        </w:rPr>
        <w:t>uno strumento permanente per la gestione del pendolarismo ordinario</w:t>
      </w:r>
      <w:r w:rsidR="00BE4ADF" w:rsidRPr="00BE4ADF">
        <w:rPr>
          <w:rFonts w:cstheme="minorHAnsi"/>
        </w:rPr>
        <w:t>,</w:t>
      </w:r>
    </w:p>
    <w:p w:rsidR="00BE4ADF" w:rsidRPr="005A0950" w:rsidRDefault="00BE4ADF" w:rsidP="00BE4ADF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BE4ADF">
        <w:rPr>
          <w:rFonts w:cstheme="minorHAnsi"/>
        </w:rPr>
        <w:t xml:space="preserve">che </w:t>
      </w:r>
      <w:r w:rsidR="006D2811">
        <w:rPr>
          <w:rFonts w:cstheme="minorHAnsi"/>
        </w:rPr>
        <w:t xml:space="preserve">dovrà prevedere </w:t>
      </w:r>
      <w:r w:rsidRPr="00BE4ADF">
        <w:rPr>
          <w:rFonts w:cstheme="minorHAnsi"/>
        </w:rPr>
        <w:t xml:space="preserve">un sostegno economico vero per i colleghi che vivono nella condizione di pendolare </w:t>
      </w:r>
      <w:r>
        <w:t>e,  in quanto t</w:t>
      </w:r>
      <w:r w:rsidRPr="005A0950">
        <w:t>rattamento di nuova istituzione</w:t>
      </w:r>
      <w:r>
        <w:t xml:space="preserve">, </w:t>
      </w:r>
      <w:r w:rsidRPr="005A0950">
        <w:t>esteso a tutti i pendolari compresi ex Banche del Gruppo</w:t>
      </w:r>
    </w:p>
    <w:p w:rsidR="00344710" w:rsidRDefault="00BE4ADF" w:rsidP="0090235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che </w:t>
      </w:r>
      <w:r w:rsidR="006D2811">
        <w:t xml:space="preserve">dovrà essere </w:t>
      </w:r>
      <w:r>
        <w:t xml:space="preserve">riconosciuto a tutti i trasferimenti disposti dall’azienda oltre i 30 </w:t>
      </w:r>
      <w:r w:rsidR="006D2811">
        <w:t>km</w:t>
      </w:r>
      <w:r>
        <w:t xml:space="preserve"> </w:t>
      </w:r>
      <w:r w:rsidR="00C15D10" w:rsidRPr="005A0950">
        <w:t>effettuati dal 01.01.2012</w:t>
      </w:r>
      <w:r>
        <w:t xml:space="preserve"> (data decorrenza Piani Industriali);</w:t>
      </w:r>
    </w:p>
    <w:p w:rsidR="005A0950" w:rsidRDefault="00BE4ADF" w:rsidP="00BE4AD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che </w:t>
      </w:r>
      <w:r w:rsidR="006D2811">
        <w:t xml:space="preserve">dovrà ricomprendere </w:t>
      </w:r>
      <w:r>
        <w:t xml:space="preserve">i </w:t>
      </w:r>
      <w:r w:rsidR="00C15D10" w:rsidRPr="005A0950">
        <w:t>trasferimenti antecedenti al 2012</w:t>
      </w:r>
      <w:r>
        <w:t xml:space="preserve">, </w:t>
      </w:r>
      <w:r w:rsidR="00C15D10" w:rsidRPr="005A0950">
        <w:t xml:space="preserve"> </w:t>
      </w:r>
      <w:r>
        <w:t xml:space="preserve">qualora </w:t>
      </w:r>
      <w:r w:rsidR="005A0950">
        <w:t>la domanda di avvicinamento</w:t>
      </w:r>
      <w:r w:rsidR="00CB1566">
        <w:t xml:space="preserve">, entro la </w:t>
      </w:r>
      <w:r w:rsidR="00CF43F5">
        <w:t xml:space="preserve">distanza minima (km 30), </w:t>
      </w:r>
      <w:r w:rsidR="00CB1566">
        <w:t>prevista dall’accordo,</w:t>
      </w:r>
      <w:r w:rsidR="005A0950">
        <w:t xml:space="preserve"> non </w:t>
      </w:r>
      <w:r>
        <w:t xml:space="preserve">venga </w:t>
      </w:r>
      <w:r w:rsidR="005A0950">
        <w:t xml:space="preserve">accolta </w:t>
      </w:r>
      <w:r w:rsidR="00C15D10" w:rsidRPr="005A0950">
        <w:t xml:space="preserve">entro 6 mesi </w:t>
      </w:r>
      <w:r w:rsidR="005A0950">
        <w:t>;</w:t>
      </w:r>
    </w:p>
    <w:p w:rsidR="00344710" w:rsidRDefault="00BE4ADF" w:rsidP="0090235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che </w:t>
      </w:r>
      <w:r w:rsidR="002963BA">
        <w:t xml:space="preserve">dovrà avere </w:t>
      </w:r>
      <w:r>
        <w:t>una d</w:t>
      </w:r>
      <w:r w:rsidR="00344710" w:rsidRPr="005A0950">
        <w:t>urata</w:t>
      </w:r>
      <w:r>
        <w:t xml:space="preserve"> di </w:t>
      </w:r>
      <w:r w:rsidR="00344710" w:rsidRPr="005A0950">
        <w:t xml:space="preserve"> </w:t>
      </w:r>
      <w:r w:rsidR="005A0950">
        <w:t>48 mesi al termine dei quali l’azienda individuerà la soluzione più praticabile per il riavvicinamento</w:t>
      </w:r>
      <w:r w:rsidR="005017A3">
        <w:t xml:space="preserve"> (km.30)</w:t>
      </w:r>
      <w:r w:rsidR="005A0950">
        <w:t xml:space="preserve"> di coloro che ne fa</w:t>
      </w:r>
      <w:r w:rsidR="002963BA">
        <w:t xml:space="preserve">ranno </w:t>
      </w:r>
      <w:r w:rsidR="005A0950">
        <w:t>richiesta, in alternativa rinnoverà il ristoro economico</w:t>
      </w:r>
      <w:r w:rsidR="003B0DCE">
        <w:t xml:space="preserve"> previsto;</w:t>
      </w:r>
    </w:p>
    <w:p w:rsidR="00F209AE" w:rsidRDefault="00BE4ADF" w:rsidP="0090235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che </w:t>
      </w:r>
      <w:r w:rsidR="002963BA">
        <w:t xml:space="preserve">dovrà </w:t>
      </w:r>
      <w:r>
        <w:t>i</w:t>
      </w:r>
      <w:r w:rsidR="005017A3">
        <w:t>ndividu</w:t>
      </w:r>
      <w:r w:rsidR="002963BA">
        <w:t>are</w:t>
      </w:r>
      <w:r>
        <w:t xml:space="preserve"> una </w:t>
      </w:r>
      <w:r w:rsidR="005017A3">
        <w:t>s</w:t>
      </w:r>
      <w:r w:rsidR="003B0DCE">
        <w:t xml:space="preserve">oluzione </w:t>
      </w:r>
      <w:r w:rsidR="00F209AE">
        <w:t>per problematica isole</w:t>
      </w:r>
      <w:r>
        <w:t xml:space="preserve"> e </w:t>
      </w:r>
      <w:r w:rsidR="00F209AE">
        <w:t xml:space="preserve">per i comuni metropolitani; </w:t>
      </w:r>
    </w:p>
    <w:p w:rsidR="00F209AE" w:rsidRDefault="00BE4ADF" w:rsidP="0090235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lastRenderedPageBreak/>
        <w:t xml:space="preserve">che </w:t>
      </w:r>
      <w:r w:rsidR="002963BA">
        <w:t xml:space="preserve">dovrà prevedere che  </w:t>
      </w:r>
      <w:r>
        <w:t xml:space="preserve">il dipendente possa effettuare </w:t>
      </w:r>
      <w:r w:rsidR="005017A3">
        <w:t>la s</w:t>
      </w:r>
      <w:r w:rsidR="00F209AE">
        <w:t>celta tra indennità prevista dall’accor</w:t>
      </w:r>
      <w:r>
        <w:t>do o abbonamento mezzi pubblici.</w:t>
      </w:r>
    </w:p>
    <w:p w:rsidR="00065514" w:rsidRPr="00630703" w:rsidRDefault="005A0950" w:rsidP="00BE4ADF">
      <w:pPr>
        <w:spacing w:after="0" w:line="240" w:lineRule="auto"/>
        <w:jc w:val="center"/>
        <w:rPr>
          <w:b/>
          <w:caps/>
        </w:rPr>
      </w:pPr>
      <w:r w:rsidRPr="00630703">
        <w:rPr>
          <w:b/>
          <w:caps/>
        </w:rPr>
        <w:t>Indennità di cassa saltuaria</w:t>
      </w:r>
    </w:p>
    <w:p w:rsidR="005A0950" w:rsidRPr="00630703" w:rsidRDefault="00B93803" w:rsidP="004E58F3">
      <w:pPr>
        <w:widowControl w:val="0"/>
        <w:tabs>
          <w:tab w:val="left" w:pos="6212"/>
        </w:tabs>
        <w:spacing w:line="240" w:lineRule="atLeast"/>
        <w:ind w:right="57"/>
        <w:jc w:val="both"/>
      </w:pPr>
      <w:r w:rsidRPr="004E58F3">
        <w:rPr>
          <w:rFonts w:cstheme="minorHAnsi"/>
        </w:rPr>
        <w:t xml:space="preserve">Adozione accordo vigente in </w:t>
      </w:r>
      <w:r w:rsidR="005A0950" w:rsidRPr="004E58F3">
        <w:rPr>
          <w:rFonts w:cstheme="minorHAnsi"/>
        </w:rPr>
        <w:t xml:space="preserve"> Bper</w:t>
      </w:r>
      <w:r w:rsidR="004E58F3" w:rsidRPr="004E58F3">
        <w:rPr>
          <w:rFonts w:cstheme="minorHAnsi"/>
        </w:rPr>
        <w:t xml:space="preserve"> che prevede l’erogazione dell’indennità di cassa piena per adibizioni  </w:t>
      </w:r>
      <w:r w:rsidR="004E58F3" w:rsidRPr="004E58F3">
        <w:rPr>
          <w:rFonts w:cstheme="minorHAnsi"/>
          <w:snapToGrid w:val="0"/>
        </w:rPr>
        <w:t>pari o superiori a sei giorni lavorativi nel corso dello stesso mese, oppure ridotta del 50% per adibizioni di durata inferiore.</w:t>
      </w:r>
      <w:r w:rsidR="004E58F3">
        <w:rPr>
          <w:rFonts w:cstheme="minorHAnsi"/>
          <w:snapToGrid w:val="0"/>
        </w:rPr>
        <w:t xml:space="preserve"> </w:t>
      </w:r>
      <w:r>
        <w:t>Inoltre, p</w:t>
      </w:r>
      <w:r w:rsidR="00806596">
        <w:t xml:space="preserve">er ogni filiale </w:t>
      </w:r>
      <w:r w:rsidR="004E58F3">
        <w:t xml:space="preserve">deve essere individuato </w:t>
      </w:r>
      <w:r w:rsidR="00806596">
        <w:t xml:space="preserve">come </w:t>
      </w:r>
      <w:r w:rsidR="005A0950" w:rsidRPr="00630703">
        <w:t xml:space="preserve">minimo </w:t>
      </w:r>
      <w:r w:rsidR="00806596">
        <w:t>1</w:t>
      </w:r>
      <w:r w:rsidR="005A0950" w:rsidRPr="00630703">
        <w:t xml:space="preserve"> cassiere</w:t>
      </w:r>
      <w:r w:rsidR="00806596">
        <w:t xml:space="preserve"> effettivo</w:t>
      </w:r>
      <w:r w:rsidR="004E58F3">
        <w:t xml:space="preserve"> e</w:t>
      </w:r>
      <w:r w:rsidR="002963BA">
        <w:t xml:space="preserve"> </w:t>
      </w:r>
      <w:r w:rsidR="004E58F3">
        <w:t xml:space="preserve">dovranno essere </w:t>
      </w:r>
      <w:r w:rsidR="00806596">
        <w:t>previst</w:t>
      </w:r>
      <w:r w:rsidR="00C33825">
        <w:t>i</w:t>
      </w:r>
      <w:r w:rsidR="00806596">
        <w:t xml:space="preserve"> ulteriori cassieri effettivi per ogni cassa operativa per </w:t>
      </w:r>
      <w:r w:rsidR="00806596" w:rsidRPr="00630703">
        <w:t>6 gg al mese o 70 gg. all’anno</w:t>
      </w:r>
      <w:r w:rsidR="00806596">
        <w:t>.</w:t>
      </w:r>
    </w:p>
    <w:p w:rsidR="008451DA" w:rsidRDefault="002963BA" w:rsidP="00902354">
      <w:pPr>
        <w:spacing w:after="0" w:line="240" w:lineRule="auto"/>
        <w:jc w:val="both"/>
      </w:pPr>
      <w:r>
        <w:t>Inoltre le OO.SS. hanno richiesto la consegna del mansionario che esplichi in maniera dettagliata cosa devono fare i  colleghi nelle filiali.</w:t>
      </w:r>
    </w:p>
    <w:p w:rsidR="004E58F3" w:rsidRDefault="004E58F3" w:rsidP="00902354">
      <w:pPr>
        <w:spacing w:after="0" w:line="240" w:lineRule="auto"/>
        <w:jc w:val="both"/>
        <w:rPr>
          <w:color w:val="FF0000"/>
        </w:rPr>
      </w:pPr>
    </w:p>
    <w:p w:rsidR="00DC6D7B" w:rsidRPr="008D079A" w:rsidRDefault="00B93803" w:rsidP="008D079A">
      <w:pPr>
        <w:spacing w:after="0" w:line="240" w:lineRule="auto"/>
        <w:jc w:val="both"/>
      </w:pPr>
      <w:r w:rsidRPr="008D079A">
        <w:t>La Delegazione Aziendale</w:t>
      </w:r>
      <w:r w:rsidR="00DD7507" w:rsidRPr="008D079A">
        <w:t xml:space="preserve"> nella giornata conclusiva dell’incontro del 6 maggio 2017</w:t>
      </w:r>
      <w:r w:rsidR="002963BA">
        <w:t xml:space="preserve">, ha dichiarato , dopo varie resistenze,  che a tutt'oggi non esiste un mansionario e </w:t>
      </w:r>
      <w:r w:rsidR="002963BA" w:rsidRPr="008D079A">
        <w:t xml:space="preserve"> </w:t>
      </w:r>
      <w:r w:rsidR="00DD7507" w:rsidRPr="008D079A">
        <w:t>ha esposto una sua prima valutazione sulla nostra proposta</w:t>
      </w:r>
      <w:r w:rsidR="000F058C">
        <w:t>,</w:t>
      </w:r>
      <w:r w:rsidR="00DD7507" w:rsidRPr="008D079A">
        <w:t xml:space="preserve"> definendo le proposte sindacale ed aziendali ”  NON TROPPO VICINE”.</w:t>
      </w:r>
    </w:p>
    <w:p w:rsidR="00DD7507" w:rsidRDefault="00DD7507" w:rsidP="008D079A">
      <w:pPr>
        <w:spacing w:after="0" w:line="240" w:lineRule="auto"/>
        <w:jc w:val="both"/>
      </w:pPr>
      <w:r w:rsidRPr="008D079A">
        <w:t xml:space="preserve">L’Azienda, inoltre, </w:t>
      </w:r>
      <w:r w:rsidR="00424658" w:rsidRPr="008D079A">
        <w:t xml:space="preserve">ha preannunciato una controproposta, che presenterà nella prossima sessione di lavori  </w:t>
      </w:r>
      <w:r w:rsidRPr="008D079A">
        <w:t>nell’</w:t>
      </w:r>
      <w:r w:rsidR="003C3C9A" w:rsidRPr="008D079A">
        <w:t>o</w:t>
      </w:r>
      <w:r w:rsidRPr="008D079A">
        <w:t xml:space="preserve">biettivo di </w:t>
      </w:r>
      <w:r w:rsidR="003C3C9A" w:rsidRPr="008D079A">
        <w:t>di concludere un percorso condiviso sul progetto</w:t>
      </w:r>
      <w:r w:rsidR="00B968DA">
        <w:t xml:space="preserve"> </w:t>
      </w:r>
      <w:bookmarkStart w:id="0" w:name="_GoBack"/>
      <w:bookmarkEnd w:id="0"/>
      <w:proofErr w:type="spellStart"/>
      <w:r w:rsidR="003C3C9A" w:rsidRPr="008D079A">
        <w:t>footprint</w:t>
      </w:r>
      <w:proofErr w:type="spellEnd"/>
      <w:r w:rsidR="003C3C9A" w:rsidRPr="008D079A">
        <w:t>.</w:t>
      </w:r>
    </w:p>
    <w:p w:rsidR="00174E0E" w:rsidRPr="008D079A" w:rsidRDefault="00174E0E" w:rsidP="008D079A">
      <w:pPr>
        <w:spacing w:after="0" w:line="240" w:lineRule="auto"/>
        <w:jc w:val="both"/>
      </w:pPr>
    </w:p>
    <w:p w:rsidR="008D079A" w:rsidRPr="008D079A" w:rsidRDefault="00424658" w:rsidP="00730792">
      <w:pPr>
        <w:spacing w:after="0" w:line="240" w:lineRule="auto"/>
        <w:jc w:val="both"/>
        <w:rPr>
          <w:rFonts w:cstheme="minorHAnsi"/>
        </w:rPr>
      </w:pPr>
      <w:r w:rsidRPr="008D079A">
        <w:rPr>
          <w:rFonts w:cstheme="minorHAnsi"/>
        </w:rPr>
        <w:t>Per quanto ovvio l</w:t>
      </w:r>
      <w:r w:rsidR="008D079A" w:rsidRPr="008D079A">
        <w:rPr>
          <w:rFonts w:cstheme="minorHAnsi"/>
        </w:rPr>
        <w:t>’eventuale accordo si limit</w:t>
      </w:r>
      <w:r w:rsidR="00174E0E">
        <w:rPr>
          <w:rFonts w:cstheme="minorHAnsi"/>
        </w:rPr>
        <w:t>erà</w:t>
      </w:r>
      <w:r w:rsidR="008D079A" w:rsidRPr="008D079A">
        <w:rPr>
          <w:rFonts w:cstheme="minorHAnsi"/>
        </w:rPr>
        <w:t xml:space="preserve"> ai temi trattati e non </w:t>
      </w:r>
      <w:r w:rsidR="00174E0E">
        <w:rPr>
          <w:rFonts w:cstheme="minorHAnsi"/>
        </w:rPr>
        <w:t>potrà</w:t>
      </w:r>
      <w:r w:rsidR="008D079A" w:rsidRPr="008D079A">
        <w:rPr>
          <w:rFonts w:cstheme="minorHAnsi"/>
        </w:rPr>
        <w:t xml:space="preserve"> essere in alcun modo inteso come condivisione di un progetto di ristrutturazione della rete che, come abbiamo già avuto modo di dire, ha creato, fin dall’inizio e in ogni sua fase di applicazione successiva, un clima di disagio e di sofferenza vissuto quotidianamente dai lavoratori in tema di mobilità territoriale, </w:t>
      </w:r>
      <w:proofErr w:type="spellStart"/>
      <w:r w:rsidR="008D079A" w:rsidRPr="008D079A">
        <w:rPr>
          <w:rFonts w:cstheme="minorHAnsi"/>
        </w:rPr>
        <w:t>demansionamenti</w:t>
      </w:r>
      <w:proofErr w:type="spellEnd"/>
      <w:r w:rsidR="008D079A" w:rsidRPr="008D079A">
        <w:rPr>
          <w:rFonts w:cstheme="minorHAnsi"/>
        </w:rPr>
        <w:t>, carichi di lavoro eccessivi per l’evidente sottodimensionamento degli organici, incertezza e contraddittorietà nelle indicazioni aziendali.</w:t>
      </w:r>
    </w:p>
    <w:p w:rsidR="008D079A" w:rsidRPr="008D079A" w:rsidRDefault="00424658" w:rsidP="00730792">
      <w:pPr>
        <w:spacing w:after="0" w:line="240" w:lineRule="auto"/>
        <w:jc w:val="both"/>
      </w:pPr>
      <w:r w:rsidRPr="008D079A">
        <w:t xml:space="preserve">A fine riunione è stato </w:t>
      </w:r>
      <w:r w:rsidR="008D079A" w:rsidRPr="008D079A">
        <w:t xml:space="preserve">inoltre </w:t>
      </w:r>
      <w:r w:rsidRPr="008D079A">
        <w:t xml:space="preserve">sollecitato </w:t>
      </w:r>
      <w:r w:rsidR="008D079A" w:rsidRPr="008D079A">
        <w:t xml:space="preserve">l’incontro </w:t>
      </w:r>
      <w:r w:rsidR="00DC6D7B" w:rsidRPr="008D079A">
        <w:t>riguarda</w:t>
      </w:r>
      <w:r w:rsidR="008D079A" w:rsidRPr="008D079A">
        <w:t xml:space="preserve">nte </w:t>
      </w:r>
      <w:r w:rsidR="00DC6D7B" w:rsidRPr="008D079A">
        <w:t xml:space="preserve">il tema delle PRESSIONI COMMERCIALI </w:t>
      </w:r>
      <w:r w:rsidR="00733166">
        <w:t>ai sensi</w:t>
      </w:r>
      <w:r w:rsidR="00DC6D7B" w:rsidRPr="008D079A">
        <w:t xml:space="preserve"> dall’Accordo ABI </w:t>
      </w:r>
      <w:r w:rsidR="00733166">
        <w:t>del</w:t>
      </w:r>
      <w:r w:rsidR="00DC6D7B" w:rsidRPr="008D079A">
        <w:t>l’8 febbraio 2017.</w:t>
      </w:r>
    </w:p>
    <w:p w:rsidR="003C3C9A" w:rsidRDefault="008D079A" w:rsidP="00730792">
      <w:pPr>
        <w:spacing w:after="0" w:line="240" w:lineRule="auto"/>
        <w:jc w:val="both"/>
      </w:pPr>
      <w:r w:rsidRPr="008D079A">
        <w:t>Su questo tema l’azienda ha dichiarato la propria</w:t>
      </w:r>
      <w:r w:rsidR="00DC6D7B" w:rsidRPr="008D079A">
        <w:t xml:space="preserve"> disponibilità a costituire una commissione paritetica</w:t>
      </w:r>
      <w:r w:rsidR="00B93803" w:rsidRPr="008D079A">
        <w:t xml:space="preserve"> per arrivare ad un Accordo con le OO.SS.</w:t>
      </w:r>
    </w:p>
    <w:p w:rsidR="00174E0E" w:rsidRPr="008D079A" w:rsidRDefault="00174E0E" w:rsidP="008D079A">
      <w:pPr>
        <w:spacing w:after="0" w:line="240" w:lineRule="auto"/>
        <w:jc w:val="both"/>
      </w:pPr>
    </w:p>
    <w:p w:rsidR="00174E0E" w:rsidRDefault="00DC6D7B" w:rsidP="00174E0E">
      <w:pPr>
        <w:pStyle w:val="Standard"/>
        <w:spacing w:after="0" w:line="240" w:lineRule="auto"/>
        <w:jc w:val="both"/>
      </w:pPr>
      <w:r w:rsidRPr="008D079A">
        <w:t xml:space="preserve">Il confronto con l’ Azienda  </w:t>
      </w:r>
      <w:r w:rsidR="00174E0E">
        <w:t>proseguirà  dal 15 al 18 maggio</w:t>
      </w:r>
      <w:r w:rsidR="00730792">
        <w:t xml:space="preserve"> durante il quale c</w:t>
      </w:r>
      <w:r w:rsidR="00174E0E">
        <w:t>ontinueremo a respingere con forza l’evidente tentativo aziendale di chiudere la trattativa in corso</w:t>
      </w:r>
      <w:r w:rsidR="00F34D0A">
        <w:t>,</w:t>
      </w:r>
      <w:r w:rsidR="00174E0E">
        <w:t xml:space="preserve"> con una armonizzazione al ribasso rispetto a</w:t>
      </w:r>
      <w:r w:rsidR="003A1B84">
        <w:t>l</w:t>
      </w:r>
      <w:r w:rsidR="00174E0E">
        <w:t>la storia contrattuale esistente in tutte le Aziende del Gruppo che, oltre che penalizzare i lavoratori, sarebbe del tutto ingiustificata, considerate le performance tutto sommato buone dell’intero Gruppo, grazie allo straordinario impegno quotidiano di tutti i dipendenti.</w:t>
      </w:r>
    </w:p>
    <w:p w:rsidR="003A1B84" w:rsidRPr="00174E0E" w:rsidRDefault="003A1B84" w:rsidP="00174E0E">
      <w:pPr>
        <w:pStyle w:val="Standard"/>
        <w:spacing w:after="0" w:line="240" w:lineRule="auto"/>
        <w:jc w:val="both"/>
        <w:rPr>
          <w:bCs/>
          <w:shd w:val="clear" w:color="auto" w:fill="FFFF99"/>
        </w:rPr>
      </w:pPr>
    </w:p>
    <w:p w:rsidR="00776075" w:rsidRDefault="00DC6D7B" w:rsidP="008D079A">
      <w:pPr>
        <w:spacing w:after="0" w:line="240" w:lineRule="auto"/>
        <w:jc w:val="both"/>
      </w:pPr>
      <w:r w:rsidRPr="008D079A">
        <w:t xml:space="preserve"> Vi </w:t>
      </w:r>
      <w:r w:rsidR="00A57E07">
        <w:t>terremo costantemente aggiornati</w:t>
      </w:r>
      <w:r w:rsidR="00776075">
        <w:rPr>
          <w:color w:val="FF0000"/>
        </w:rPr>
        <w:t xml:space="preserve"> </w:t>
      </w:r>
      <w:r w:rsidR="00776075" w:rsidRPr="000F058C">
        <w:t xml:space="preserve">nella consapevolezza che la condivisione e la sottoscrizione di un accordo – dopo oltre un anno di estenuanti incontri – dovrà </w:t>
      </w:r>
      <w:r w:rsidR="00A57E07" w:rsidRPr="000F058C">
        <w:t>rilanciare il CLIMA AZIENDALE</w:t>
      </w:r>
      <w:r w:rsidR="004E58F3" w:rsidRPr="000F058C">
        <w:t xml:space="preserve"> </w:t>
      </w:r>
      <w:r w:rsidR="00776075" w:rsidRPr="000F058C">
        <w:t>che ha risentito dello stravolgimento organizzativo</w:t>
      </w:r>
      <w:r w:rsidR="000F058C" w:rsidRPr="000F058C">
        <w:t xml:space="preserve">. </w:t>
      </w:r>
    </w:p>
    <w:p w:rsidR="000F058C" w:rsidRDefault="000F058C" w:rsidP="008D079A">
      <w:pPr>
        <w:spacing w:after="0" w:line="240" w:lineRule="auto"/>
        <w:jc w:val="both"/>
      </w:pPr>
    </w:p>
    <w:p w:rsidR="000F058C" w:rsidRPr="001B49CC" w:rsidRDefault="000F058C" w:rsidP="000F058C">
      <w:pPr>
        <w:tabs>
          <w:tab w:val="left" w:pos="284"/>
        </w:tabs>
        <w:spacing w:after="0" w:line="360" w:lineRule="auto"/>
        <w:jc w:val="center"/>
        <w:rPr>
          <w:rFonts w:ascii="Comic Sans MS" w:hAnsi="Comic Sans MS" w:cs="Helvetica"/>
          <w:sz w:val="20"/>
          <w:szCs w:val="20"/>
        </w:rPr>
      </w:pPr>
      <w:r w:rsidRPr="001B49CC">
        <w:rPr>
          <w:rFonts w:ascii="Comic Sans MS" w:hAnsi="Comic Sans MS"/>
          <w:sz w:val="20"/>
          <w:szCs w:val="24"/>
        </w:rPr>
        <w:t xml:space="preserve">Le Segreterie di </w:t>
      </w:r>
      <w:r w:rsidRPr="00A52C23">
        <w:rPr>
          <w:rFonts w:ascii="Comic Sans MS" w:hAnsi="Comic Sans MS"/>
          <w:sz w:val="20"/>
          <w:szCs w:val="24"/>
        </w:rPr>
        <w:t>Coordinamento del</w:t>
      </w:r>
      <w:r>
        <w:rPr>
          <w:rFonts w:ascii="Comic Sans MS" w:hAnsi="Comic Sans MS"/>
          <w:color w:val="FF0000"/>
          <w:sz w:val="20"/>
          <w:szCs w:val="24"/>
        </w:rPr>
        <w:t xml:space="preserve"> </w:t>
      </w:r>
      <w:r w:rsidRPr="001B49CC">
        <w:rPr>
          <w:rFonts w:ascii="Comic Sans MS" w:hAnsi="Comic Sans MS"/>
          <w:sz w:val="20"/>
          <w:szCs w:val="24"/>
        </w:rPr>
        <w:t>Gruppo BPER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11"/>
        <w:gridCol w:w="1550"/>
        <w:gridCol w:w="1552"/>
        <w:gridCol w:w="1340"/>
        <w:gridCol w:w="1203"/>
        <w:gridCol w:w="1284"/>
        <w:gridCol w:w="1330"/>
      </w:tblGrid>
      <w:tr w:rsidR="000F058C" w:rsidRPr="00AE6ABB" w:rsidTr="004F3E89">
        <w:tc>
          <w:tcPr>
            <w:tcW w:w="1311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FABI</w:t>
            </w:r>
          </w:p>
        </w:tc>
        <w:tc>
          <w:tcPr>
            <w:tcW w:w="1550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FIRST/CISL</w:t>
            </w:r>
          </w:p>
        </w:tc>
        <w:tc>
          <w:tcPr>
            <w:tcW w:w="1552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FISAC/CGIL</w:t>
            </w:r>
          </w:p>
        </w:tc>
        <w:tc>
          <w:tcPr>
            <w:tcW w:w="1340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SINFUB</w:t>
            </w:r>
          </w:p>
        </w:tc>
        <w:tc>
          <w:tcPr>
            <w:tcW w:w="1203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>
              <w:rPr>
                <w:rFonts w:ascii="Comic Sans MS" w:hAnsi="Comic Sans MS" w:cs="Helvetica"/>
                <w:sz w:val="20"/>
                <w:szCs w:val="20"/>
              </w:rPr>
              <w:t>UGL</w:t>
            </w:r>
          </w:p>
        </w:tc>
        <w:tc>
          <w:tcPr>
            <w:tcW w:w="1284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UIL C.A.</w:t>
            </w:r>
          </w:p>
        </w:tc>
        <w:tc>
          <w:tcPr>
            <w:tcW w:w="1330" w:type="dxa"/>
          </w:tcPr>
          <w:p w:rsidR="000F058C" w:rsidRPr="00AE6ABB" w:rsidRDefault="000F058C" w:rsidP="004F3E89">
            <w:pPr>
              <w:spacing w:line="360" w:lineRule="auto"/>
              <w:jc w:val="center"/>
              <w:rPr>
                <w:rFonts w:ascii="Comic Sans MS" w:hAnsi="Comic Sans MS" w:cs="Helvetica"/>
                <w:sz w:val="20"/>
                <w:szCs w:val="20"/>
              </w:rPr>
            </w:pPr>
            <w:r w:rsidRPr="00AE6ABB">
              <w:rPr>
                <w:rFonts w:ascii="Comic Sans MS" w:hAnsi="Comic Sans MS" w:cs="Helvetica"/>
                <w:sz w:val="20"/>
                <w:szCs w:val="20"/>
              </w:rPr>
              <w:t>UNI.SIN.</w:t>
            </w:r>
          </w:p>
        </w:tc>
      </w:tr>
    </w:tbl>
    <w:p w:rsidR="000F058C" w:rsidRPr="000F058C" w:rsidRDefault="000F058C" w:rsidP="008D079A">
      <w:pPr>
        <w:spacing w:after="0" w:line="240" w:lineRule="auto"/>
        <w:jc w:val="both"/>
      </w:pPr>
    </w:p>
    <w:sectPr w:rsidR="000F058C" w:rsidRPr="000F058C" w:rsidSect="000F058C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3E" w:rsidRDefault="0047073E" w:rsidP="000F058C">
      <w:pPr>
        <w:spacing w:after="0" w:line="240" w:lineRule="auto"/>
      </w:pPr>
      <w:r>
        <w:separator/>
      </w:r>
    </w:p>
  </w:endnote>
  <w:endnote w:type="continuationSeparator" w:id="0">
    <w:p w:rsidR="0047073E" w:rsidRDefault="0047073E" w:rsidP="000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3E" w:rsidRDefault="0047073E" w:rsidP="000F058C">
      <w:pPr>
        <w:spacing w:after="0" w:line="240" w:lineRule="auto"/>
      </w:pPr>
      <w:r>
        <w:separator/>
      </w:r>
    </w:p>
  </w:footnote>
  <w:footnote w:type="continuationSeparator" w:id="0">
    <w:p w:rsidR="0047073E" w:rsidRDefault="0047073E" w:rsidP="000F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2E"/>
    <w:multiLevelType w:val="hybridMultilevel"/>
    <w:tmpl w:val="E3EA2D30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FE57C13"/>
    <w:multiLevelType w:val="hybridMultilevel"/>
    <w:tmpl w:val="625CF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C1DFE"/>
    <w:multiLevelType w:val="hybridMultilevel"/>
    <w:tmpl w:val="FC70E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A301B"/>
    <w:multiLevelType w:val="hybridMultilevel"/>
    <w:tmpl w:val="26420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A64BE"/>
    <w:multiLevelType w:val="hybridMultilevel"/>
    <w:tmpl w:val="514090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1F3758"/>
    <w:multiLevelType w:val="hybridMultilevel"/>
    <w:tmpl w:val="B96E4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59AF"/>
    <w:multiLevelType w:val="hybridMultilevel"/>
    <w:tmpl w:val="58284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B0002"/>
    <w:multiLevelType w:val="hybridMultilevel"/>
    <w:tmpl w:val="EC82F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3C37"/>
    <w:multiLevelType w:val="hybridMultilevel"/>
    <w:tmpl w:val="88720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315D3"/>
    <w:multiLevelType w:val="hybridMultilevel"/>
    <w:tmpl w:val="048A9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02271A"/>
    <w:multiLevelType w:val="hybridMultilevel"/>
    <w:tmpl w:val="A8149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758FD"/>
    <w:multiLevelType w:val="hybridMultilevel"/>
    <w:tmpl w:val="71EE2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7F6"/>
    <w:multiLevelType w:val="hybridMultilevel"/>
    <w:tmpl w:val="3E6876B4"/>
    <w:lvl w:ilvl="0" w:tplc="FBFCAAB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A"/>
    <w:rsid w:val="000045BA"/>
    <w:rsid w:val="00065514"/>
    <w:rsid w:val="000669E7"/>
    <w:rsid w:val="00092620"/>
    <w:rsid w:val="000E3B3C"/>
    <w:rsid w:val="000F058C"/>
    <w:rsid w:val="000F1E69"/>
    <w:rsid w:val="0012300A"/>
    <w:rsid w:val="00130919"/>
    <w:rsid w:val="00174E0E"/>
    <w:rsid w:val="001908E9"/>
    <w:rsid w:val="001C72A6"/>
    <w:rsid w:val="001E63EE"/>
    <w:rsid w:val="001F20B3"/>
    <w:rsid w:val="001F26D2"/>
    <w:rsid w:val="001F5203"/>
    <w:rsid w:val="00202627"/>
    <w:rsid w:val="002028C4"/>
    <w:rsid w:val="0023577A"/>
    <w:rsid w:val="00255AAA"/>
    <w:rsid w:val="002963BA"/>
    <w:rsid w:val="002A6302"/>
    <w:rsid w:val="002B0C64"/>
    <w:rsid w:val="002E0C90"/>
    <w:rsid w:val="002E3AEE"/>
    <w:rsid w:val="00315424"/>
    <w:rsid w:val="00316E8B"/>
    <w:rsid w:val="003327DD"/>
    <w:rsid w:val="00344710"/>
    <w:rsid w:val="003A1B84"/>
    <w:rsid w:val="003B0DCE"/>
    <w:rsid w:val="003B6FFB"/>
    <w:rsid w:val="003C3C9A"/>
    <w:rsid w:val="003F1591"/>
    <w:rsid w:val="00424658"/>
    <w:rsid w:val="00443AC4"/>
    <w:rsid w:val="0047073E"/>
    <w:rsid w:val="00497E0C"/>
    <w:rsid w:val="004A5B4C"/>
    <w:rsid w:val="004C6A24"/>
    <w:rsid w:val="004E58F3"/>
    <w:rsid w:val="005017A3"/>
    <w:rsid w:val="005219AA"/>
    <w:rsid w:val="00545F7E"/>
    <w:rsid w:val="005734C4"/>
    <w:rsid w:val="00577657"/>
    <w:rsid w:val="005819A2"/>
    <w:rsid w:val="00597DA0"/>
    <w:rsid w:val="005A0950"/>
    <w:rsid w:val="005A5C05"/>
    <w:rsid w:val="005A7348"/>
    <w:rsid w:val="005F11AD"/>
    <w:rsid w:val="005F1CCA"/>
    <w:rsid w:val="00605C6D"/>
    <w:rsid w:val="00630703"/>
    <w:rsid w:val="0066792B"/>
    <w:rsid w:val="00682A1B"/>
    <w:rsid w:val="006961F7"/>
    <w:rsid w:val="006B78F2"/>
    <w:rsid w:val="006D1B39"/>
    <w:rsid w:val="006D2811"/>
    <w:rsid w:val="006F432D"/>
    <w:rsid w:val="006F5077"/>
    <w:rsid w:val="006F6BFC"/>
    <w:rsid w:val="00730792"/>
    <w:rsid w:val="00733166"/>
    <w:rsid w:val="00755460"/>
    <w:rsid w:val="00776075"/>
    <w:rsid w:val="007D5103"/>
    <w:rsid w:val="00806596"/>
    <w:rsid w:val="00813DC8"/>
    <w:rsid w:val="008451DA"/>
    <w:rsid w:val="00860E84"/>
    <w:rsid w:val="00890A40"/>
    <w:rsid w:val="008D079A"/>
    <w:rsid w:val="008D5154"/>
    <w:rsid w:val="008E1B03"/>
    <w:rsid w:val="008F6C8C"/>
    <w:rsid w:val="00902354"/>
    <w:rsid w:val="00931351"/>
    <w:rsid w:val="0097645F"/>
    <w:rsid w:val="009940FA"/>
    <w:rsid w:val="009F1982"/>
    <w:rsid w:val="00A11C55"/>
    <w:rsid w:val="00A40D97"/>
    <w:rsid w:val="00A471B9"/>
    <w:rsid w:val="00A57E07"/>
    <w:rsid w:val="00A828BA"/>
    <w:rsid w:val="00A86DDF"/>
    <w:rsid w:val="00A9528A"/>
    <w:rsid w:val="00AE50AF"/>
    <w:rsid w:val="00B15ECF"/>
    <w:rsid w:val="00B3199D"/>
    <w:rsid w:val="00B472AC"/>
    <w:rsid w:val="00B93803"/>
    <w:rsid w:val="00B953AC"/>
    <w:rsid w:val="00B968DA"/>
    <w:rsid w:val="00BA25A8"/>
    <w:rsid w:val="00BE4ADF"/>
    <w:rsid w:val="00C15D10"/>
    <w:rsid w:val="00C33825"/>
    <w:rsid w:val="00C5497A"/>
    <w:rsid w:val="00C74FDC"/>
    <w:rsid w:val="00CA5AEF"/>
    <w:rsid w:val="00CB1566"/>
    <w:rsid w:val="00CB75A4"/>
    <w:rsid w:val="00CC06A8"/>
    <w:rsid w:val="00CD1446"/>
    <w:rsid w:val="00CD5814"/>
    <w:rsid w:val="00CF2ED9"/>
    <w:rsid w:val="00CF43F5"/>
    <w:rsid w:val="00D47FB3"/>
    <w:rsid w:val="00D86058"/>
    <w:rsid w:val="00DC35BB"/>
    <w:rsid w:val="00DC6D7B"/>
    <w:rsid w:val="00DD0750"/>
    <w:rsid w:val="00DD7507"/>
    <w:rsid w:val="00E24C98"/>
    <w:rsid w:val="00E27DA6"/>
    <w:rsid w:val="00E33421"/>
    <w:rsid w:val="00E5041F"/>
    <w:rsid w:val="00E54DC6"/>
    <w:rsid w:val="00E817EB"/>
    <w:rsid w:val="00E933EE"/>
    <w:rsid w:val="00E93FEF"/>
    <w:rsid w:val="00E97A31"/>
    <w:rsid w:val="00F209AE"/>
    <w:rsid w:val="00F34D0A"/>
    <w:rsid w:val="00F67B13"/>
    <w:rsid w:val="00F87288"/>
    <w:rsid w:val="00FA7BA2"/>
    <w:rsid w:val="00FC390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5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5AE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D5814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58C"/>
  </w:style>
  <w:style w:type="paragraph" w:styleId="Pidipagina">
    <w:name w:val="footer"/>
    <w:basedOn w:val="Normale"/>
    <w:link w:val="PidipaginaCarattere"/>
    <w:uiPriority w:val="99"/>
    <w:semiHidden/>
    <w:unhideWhenUsed/>
    <w:rsid w:val="000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5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4E0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5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5AE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D5814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58C"/>
  </w:style>
  <w:style w:type="paragraph" w:styleId="Pidipagina">
    <w:name w:val="footer"/>
    <w:basedOn w:val="Normale"/>
    <w:link w:val="PidipaginaCarattere"/>
    <w:uiPriority w:val="99"/>
    <w:semiHidden/>
    <w:unhideWhenUsed/>
    <w:rsid w:val="000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5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4E0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0E6A-467C-48D1-AFBE-AF5C868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UILCA</cp:lastModifiedBy>
  <cp:revision>15</cp:revision>
  <dcterms:created xsi:type="dcterms:W3CDTF">2017-05-11T12:56:00Z</dcterms:created>
  <dcterms:modified xsi:type="dcterms:W3CDTF">2017-05-11T16:01:00Z</dcterms:modified>
</cp:coreProperties>
</file>